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78C6" w14:textId="6A06F392" w:rsidR="001A60B1" w:rsidRDefault="001A60B1" w:rsidP="007D7D21">
      <w:pPr>
        <w:jc w:val="center"/>
      </w:pPr>
      <w:r>
        <w:t>SGSD 20</w:t>
      </w:r>
      <w:r w:rsidR="007D7D21">
        <w:t xml:space="preserve">25/26 </w:t>
      </w:r>
      <w:r>
        <w:t>PhD Studentship Competition</w:t>
      </w:r>
    </w:p>
    <w:p w14:paraId="186681C2" w14:textId="47B38EA5" w:rsidR="00AD7CCA" w:rsidRDefault="378973FE" w:rsidP="00AD7CCA">
      <w:r>
        <w:t xml:space="preserve">Supervisory team: </w:t>
      </w:r>
      <w:r w:rsidR="00AD7CCA">
        <w:t>Hon Chim Chiu, William McVean</w:t>
      </w:r>
      <w:r w:rsidR="0089522E">
        <w:t>,</w:t>
      </w:r>
      <w:r w:rsidR="00F322D5">
        <w:t xml:space="preserve"> </w:t>
      </w:r>
      <w:r w:rsidR="00AD7CCA">
        <w:t xml:space="preserve">and Dan Clayton </w:t>
      </w:r>
    </w:p>
    <w:p w14:paraId="2861BB4D" w14:textId="2A6BB8E2" w:rsidR="01114B72" w:rsidRDefault="01114B72" w:rsidP="226719A2">
      <w:pPr>
        <w:rPr>
          <w:rFonts w:ascii="Aptos" w:eastAsia="Aptos" w:hAnsi="Aptos" w:cs="Aptos"/>
          <w:b/>
          <w:bCs/>
          <w:color w:val="212121"/>
          <w:sz w:val="28"/>
          <w:szCs w:val="28"/>
        </w:rPr>
      </w:pPr>
      <w:r w:rsidRPr="226719A2">
        <w:rPr>
          <w:b/>
          <w:bCs/>
          <w:sz w:val="28"/>
          <w:szCs w:val="28"/>
        </w:rPr>
        <w:t xml:space="preserve">Title: </w:t>
      </w:r>
      <w:r w:rsidRPr="226719A2">
        <w:rPr>
          <w:rFonts w:ascii="Aptos" w:eastAsia="Aptos" w:hAnsi="Aptos" w:cs="Aptos"/>
          <w:b/>
          <w:bCs/>
          <w:color w:val="212121"/>
          <w:sz w:val="28"/>
          <w:szCs w:val="28"/>
        </w:rPr>
        <w:t>Understanding historical urban planning and development in the Gorbals, Glasgow</w:t>
      </w:r>
    </w:p>
    <w:p w14:paraId="150C058E" w14:textId="294C17EA" w:rsidR="00AD1102" w:rsidRPr="00AD1102" w:rsidRDefault="00AD1102" w:rsidP="226719A2">
      <w:pPr>
        <w:rPr>
          <w:rFonts w:ascii="Aptos" w:eastAsia="Aptos" w:hAnsi="Aptos" w:cs="Aptos"/>
          <w:color w:val="212121"/>
        </w:rPr>
      </w:pPr>
      <w:r w:rsidRPr="00AD1102">
        <w:rPr>
          <w:rFonts w:ascii="Aptos" w:eastAsia="Aptos" w:hAnsi="Aptos" w:cs="Aptos"/>
          <w:color w:val="212121"/>
        </w:rPr>
        <w:t xml:space="preserve">PhD program: </w:t>
      </w:r>
      <w:r w:rsidR="004F7D06" w:rsidRPr="004F7D06">
        <w:rPr>
          <w:rFonts w:ascii="Aptos" w:eastAsia="Aptos" w:hAnsi="Aptos" w:cs="Aptos"/>
          <w:color w:val="212121"/>
        </w:rPr>
        <w:t>PhD Geography (Science)</w:t>
      </w:r>
    </w:p>
    <w:p w14:paraId="60EEB422" w14:textId="401DE5D9" w:rsidR="01114B72" w:rsidRDefault="01114B72">
      <w:r>
        <w:t xml:space="preserve">Research area </w:t>
      </w:r>
    </w:p>
    <w:p w14:paraId="401FD725" w14:textId="5A68558F" w:rsidR="00D177A6" w:rsidRDefault="001A60B1" w:rsidP="001A60B1">
      <w:r>
        <w:t xml:space="preserve">The Gorbals has </w:t>
      </w:r>
      <w:r w:rsidR="00794C04">
        <w:t xml:space="preserve">historically </w:t>
      </w:r>
      <w:r>
        <w:t>made a name as "the most notorious single slum district in the British Isles, and among the most notorious in the world" (Watts, 1960). Studies in urban geography had focused on the subsequent urban renewal and slum clearance processes, but the myriad historical circumstances</w:t>
      </w:r>
      <w:r w:rsidR="5B7B8051">
        <w:t>, particularly in planning,</w:t>
      </w:r>
      <w:r w:rsidR="42629078">
        <w:t xml:space="preserve"> infrastructure, and governance,</w:t>
      </w:r>
      <w:r>
        <w:t xml:space="preserve"> that led to the s</w:t>
      </w:r>
      <w:r w:rsidR="007A444D">
        <w:t xml:space="preserve">lump of Gorbals </w:t>
      </w:r>
      <w:r w:rsidR="007A444D" w:rsidRPr="00F322D5">
        <w:t>(many of which remain relevant today)</w:t>
      </w:r>
      <w:r w:rsidRPr="00F322D5">
        <w:t xml:space="preserve"> ha</w:t>
      </w:r>
      <w:r w:rsidR="0010042C" w:rsidRPr="00F322D5">
        <w:t>ve</w:t>
      </w:r>
      <w:r w:rsidRPr="00F322D5">
        <w:t xml:space="preserve"> </w:t>
      </w:r>
      <w:r>
        <w:t xml:space="preserve">been relatively under studied in academic literature. </w:t>
      </w:r>
    </w:p>
    <w:p w14:paraId="0D8D72FC" w14:textId="7C9FA3C9" w:rsidR="00D177A6" w:rsidRDefault="001A60B1" w:rsidP="001A60B1">
      <w:r>
        <w:t xml:space="preserve">While many would consider the Gorbals as a slum area in the City of Glasgow, it could be argued that historical development of the village of Gorbals and its unique relationship with the </w:t>
      </w:r>
      <w:r w:rsidR="3E1352F0">
        <w:t>City</w:t>
      </w:r>
      <w:r>
        <w:t xml:space="preserve">, leading back to an Act of Parliament in 1661, could be considered as the beginnings of the difficult relationship of the Gorbals with the rest of the city. Together with the 1790 </w:t>
      </w:r>
      <w:r w:rsidR="00F9020D">
        <w:t xml:space="preserve">land sales, through feuing, </w:t>
      </w:r>
      <w:r>
        <w:t xml:space="preserve">of what would then become Tradeston, Laurieston and Hutchesontown, </w:t>
      </w:r>
      <w:r w:rsidR="2FD29EFA">
        <w:t xml:space="preserve">each having </w:t>
      </w:r>
      <w:r>
        <w:t xml:space="preserve">different duty and rights between the superiors and the feuers, the development of Gorbals started with a complex history, </w:t>
      </w:r>
      <w:r w:rsidR="5312496D">
        <w:t>and differing</w:t>
      </w:r>
      <w:r>
        <w:t xml:space="preserve"> planning and regulation rights. </w:t>
      </w:r>
      <w:r w:rsidR="4281287B">
        <w:t xml:space="preserve">Feuing as a unique </w:t>
      </w:r>
      <w:r>
        <w:t>feature of land law under the Scots Law system</w:t>
      </w:r>
      <w:r w:rsidR="00F322D5">
        <w:t xml:space="preserve"> has</w:t>
      </w:r>
      <w:r>
        <w:t xml:space="preserve"> a definite impact on the subsequent development of the Gorbals. </w:t>
      </w:r>
    </w:p>
    <w:p w14:paraId="6C331552" w14:textId="135B40DF" w:rsidR="001A60B1" w:rsidRPr="00F322D5" w:rsidRDefault="49656BC8" w:rsidP="001A60B1">
      <w:r w:rsidRPr="00F322D5">
        <w:t>T</w:t>
      </w:r>
      <w:r w:rsidR="001A60B1" w:rsidRPr="00F322D5">
        <w:t xml:space="preserve">he </w:t>
      </w:r>
      <w:r w:rsidRPr="00F322D5">
        <w:t xml:space="preserve">subsequent </w:t>
      </w:r>
      <w:r w:rsidR="00380EA0" w:rsidRPr="00F322D5">
        <w:t xml:space="preserve">C19th </w:t>
      </w:r>
      <w:r w:rsidR="004D4E0C" w:rsidRPr="00F322D5">
        <w:t xml:space="preserve">industrial expansion </w:t>
      </w:r>
      <w:r w:rsidR="00A84C79" w:rsidRPr="00F322D5">
        <w:t xml:space="preserve">was </w:t>
      </w:r>
      <w:r w:rsidR="004D4E0C" w:rsidRPr="00F322D5">
        <w:t>accompanied by</w:t>
      </w:r>
      <w:r w:rsidR="00380EA0" w:rsidRPr="00F322D5">
        <w:t xml:space="preserve"> rapid population growth </w:t>
      </w:r>
      <w:r w:rsidR="00A84C79" w:rsidRPr="00F322D5">
        <w:t xml:space="preserve">and </w:t>
      </w:r>
      <w:r w:rsidR="00380EA0" w:rsidRPr="00F322D5">
        <w:t xml:space="preserve">resulted in many of the working class </w:t>
      </w:r>
      <w:r w:rsidR="004D4E0C" w:rsidRPr="00F322D5">
        <w:t xml:space="preserve">being crammed into overcrowded and insanitary conditions.  The </w:t>
      </w:r>
      <w:r w:rsidR="001410C9" w:rsidRPr="00F322D5">
        <w:t>City of Glasgow Improvement Trust, established under the</w:t>
      </w:r>
      <w:r w:rsidR="00D177A6" w:rsidRPr="00F322D5">
        <w:t xml:space="preserve"> </w:t>
      </w:r>
      <w:r w:rsidR="001410C9" w:rsidRPr="00F322D5">
        <w:t>1866</w:t>
      </w:r>
      <w:r w:rsidR="004D4E0C" w:rsidRPr="00F322D5">
        <w:t xml:space="preserve"> Improvement Act</w:t>
      </w:r>
      <w:r w:rsidR="001410C9" w:rsidRPr="00F322D5">
        <w:t>, reshaped the slums of the old village of Gorbals.</w:t>
      </w:r>
      <w:r w:rsidR="005D6636" w:rsidRPr="00F322D5">
        <w:t xml:space="preserve"> </w:t>
      </w:r>
      <w:r w:rsidR="008E7960" w:rsidRPr="00F322D5">
        <w:t xml:space="preserve">The </w:t>
      </w:r>
      <w:r w:rsidR="001A60B1" w:rsidRPr="00F322D5">
        <w:t>economic downturn in</w:t>
      </w:r>
      <w:r w:rsidR="0010042C" w:rsidRPr="00F322D5">
        <w:t xml:space="preserve"> the</w:t>
      </w:r>
      <w:r w:rsidR="001A60B1" w:rsidRPr="00F322D5">
        <w:t xml:space="preserve"> 1930s,</w:t>
      </w:r>
      <w:r w:rsidR="0010042C" w:rsidRPr="00F322D5">
        <w:t xml:space="preserve"> </w:t>
      </w:r>
      <w:r w:rsidR="001A60B1" w:rsidRPr="00F322D5">
        <w:t xml:space="preserve">succeeded by </w:t>
      </w:r>
      <w:r w:rsidR="00C313F4" w:rsidRPr="00F322D5">
        <w:t xml:space="preserve">the very ambitious Comprehensive Development Area (CDA) plans </w:t>
      </w:r>
      <w:r w:rsidR="617467D5" w:rsidRPr="00F322D5">
        <w:t>in</w:t>
      </w:r>
      <w:r w:rsidR="00C313F4" w:rsidRPr="00F322D5">
        <w:t xml:space="preserve"> the </w:t>
      </w:r>
      <w:r w:rsidR="001A60B1" w:rsidRPr="00F322D5">
        <w:t xml:space="preserve">post-war </w:t>
      </w:r>
      <w:r w:rsidR="00C313F4" w:rsidRPr="00F322D5">
        <w:t xml:space="preserve">era </w:t>
      </w:r>
      <w:r w:rsidR="001A60B1" w:rsidRPr="00F322D5">
        <w:t>all played important, and relatively under-studied, roles towards the rise and the persistence of the slum.</w:t>
      </w:r>
    </w:p>
    <w:p w14:paraId="5457A650" w14:textId="6363D62D" w:rsidR="00B47F25" w:rsidRDefault="001A60B1" w:rsidP="00B47F25">
      <w:r>
        <w:t>The 'twice-cleared slum' that is Gorbals captured the history of attempts and failures of multiple urban renewal projects, w</w:t>
      </w:r>
      <w:r w:rsidR="463033B6">
        <w:t xml:space="preserve">here their </w:t>
      </w:r>
      <w:r>
        <w:t xml:space="preserve">consequences </w:t>
      </w:r>
      <w:r w:rsidR="574883A7">
        <w:t xml:space="preserve">had </w:t>
      </w:r>
      <w:r>
        <w:t xml:space="preserve">lasted up to the present. Understanding the </w:t>
      </w:r>
      <w:r w:rsidR="7B25422B">
        <w:t>causes of failure</w:t>
      </w:r>
      <w:r>
        <w:t>, as well as the historical development and the inter</w:t>
      </w:r>
      <w:r w:rsidR="46BE57C1">
        <w:t>action</w:t>
      </w:r>
      <w:r>
        <w:t xml:space="preserve"> of policy with history will shed light </w:t>
      </w:r>
      <w:r w:rsidR="00D177A6" w:rsidRPr="00F322D5">
        <w:t>o</w:t>
      </w:r>
      <w:r w:rsidRPr="00F322D5">
        <w:t xml:space="preserve">n </w:t>
      </w:r>
      <w:r>
        <w:t>how urban development and urban planning processes interact with social and economic historie</w:t>
      </w:r>
      <w:r w:rsidR="00DA46A3">
        <w:t>s</w:t>
      </w:r>
      <w:r w:rsidR="1CF87E57">
        <w:t xml:space="preserve"> and resolutions today</w:t>
      </w:r>
      <w:r w:rsidR="006B387A">
        <w:t>.</w:t>
      </w:r>
    </w:p>
    <w:p w14:paraId="3A46D9B4" w14:textId="6E8E036E" w:rsidR="006C3577" w:rsidRDefault="00257EC4" w:rsidP="001A60B1">
      <w:r>
        <w:t xml:space="preserve">This </w:t>
      </w:r>
      <w:r w:rsidR="00DA46A3">
        <w:t xml:space="preserve">project </w:t>
      </w:r>
      <w:r w:rsidR="006B387A">
        <w:t>will focus on the establishment of Comprehensive Development Areas (CDAs) as a post-war effort for regeneration</w:t>
      </w:r>
      <w:r w:rsidR="00D205AA">
        <w:t xml:space="preserve">, and </w:t>
      </w:r>
      <w:r>
        <w:t xml:space="preserve">will be </w:t>
      </w:r>
      <w:r w:rsidR="00DA46A3">
        <w:t xml:space="preserve">the first in academic literature to look at Gorbals at the scale of a village (instead of within the City of Glasgow) and to be </w:t>
      </w:r>
      <w:r>
        <w:t xml:space="preserve">conducted using a true multi-disciplinary research into the historical development of the Gorbals through the lenses of historical legal geography, urban geography, planning and historical GIS spatial analysis. </w:t>
      </w:r>
    </w:p>
    <w:p w14:paraId="67E4850E" w14:textId="16F0F24F" w:rsidR="001A60B1" w:rsidRPr="001A60B1" w:rsidRDefault="001A60B1" w:rsidP="001A60B1">
      <w:pPr>
        <w:rPr>
          <w:b/>
          <w:bCs/>
        </w:rPr>
      </w:pPr>
      <w:r w:rsidRPr="001A60B1">
        <w:rPr>
          <w:b/>
          <w:bCs/>
        </w:rPr>
        <w:t>Objectives and methodologies</w:t>
      </w:r>
    </w:p>
    <w:p w14:paraId="02763BAF" w14:textId="02C09BBE" w:rsidR="001A60B1" w:rsidRDefault="001A60B1" w:rsidP="001A60B1">
      <w:r>
        <w:t>The story of the Gorbals deserve</w:t>
      </w:r>
      <w:r w:rsidR="00F322D5">
        <w:t>s</w:t>
      </w:r>
      <w:r>
        <w:t xml:space="preserve"> attention to the following research questions </w:t>
      </w:r>
      <w:r w:rsidR="5AFB09D0">
        <w:t xml:space="preserve">tackled </w:t>
      </w:r>
      <w:r>
        <w:t xml:space="preserve">with </w:t>
      </w:r>
      <w:r w:rsidR="03AB2C8D">
        <w:t xml:space="preserve">these </w:t>
      </w:r>
      <w:r>
        <w:t xml:space="preserve">proposed methodologies. </w:t>
      </w:r>
    </w:p>
    <w:p w14:paraId="44690C9C" w14:textId="123BEEDE" w:rsidR="001A60B1" w:rsidRDefault="001A60B1" w:rsidP="001A60B1">
      <w:r>
        <w:t>1. The effect of the nature of the feu system under Scots Law in urban development</w:t>
      </w:r>
    </w:p>
    <w:p w14:paraId="7197796E" w14:textId="0315119E" w:rsidR="001A60B1" w:rsidRDefault="001A60B1" w:rsidP="001A60B1">
      <w:r>
        <w:t xml:space="preserve">- The feu system imparts, sometimes </w:t>
      </w:r>
      <w:r w:rsidR="5911A939">
        <w:t>arbitrary</w:t>
      </w:r>
      <w:r>
        <w:t>, rights to superiors and vassals and because of the divergent economic interest of the parties, both parties may either be reluctant or unable to cope with rapid social development especially in the early 19</w:t>
      </w:r>
      <w:r w:rsidRPr="7352C6E0">
        <w:rPr>
          <w:vertAlign w:val="superscript"/>
        </w:rPr>
        <w:t>th</w:t>
      </w:r>
      <w:r>
        <w:t xml:space="preserve"> century. This provided a prime case study on how land law effectuates planning and developmental constraints. </w:t>
      </w:r>
    </w:p>
    <w:p w14:paraId="67F051FF" w14:textId="6FC0A6F4" w:rsidR="001A60B1" w:rsidRPr="00AD7CCA" w:rsidRDefault="001A60B1" w:rsidP="001A60B1">
      <w:r>
        <w:t xml:space="preserve">- This will be </w:t>
      </w:r>
      <w:r w:rsidR="00733483">
        <w:t xml:space="preserve">explored using comparative historical study through </w:t>
      </w:r>
      <w:r>
        <w:t>archival research. A comparison of sasines created for Tradeston, Laurieston and Hutchesontown will show how different features in the feu system could control, and sometimes hinder, social development.</w:t>
      </w:r>
      <w:r w:rsidR="00AD7CCA">
        <w:t xml:space="preserve"> Looking into the legal instruments that bound the old village of Gorbals to the City of Glasgow will help elucidate the problem of administration in urban encroachment. </w:t>
      </w:r>
      <w:r w:rsidR="00AD7CCA" w:rsidRPr="7352C6E0">
        <w:rPr>
          <w:b/>
          <w:bCs/>
        </w:rPr>
        <w:t>Chiu</w:t>
      </w:r>
      <w:r w:rsidR="00AD7CCA">
        <w:t xml:space="preserve"> to </w:t>
      </w:r>
      <w:r w:rsidR="3C7C67A4">
        <w:t xml:space="preserve">supervise </w:t>
      </w:r>
      <w:r w:rsidR="00AD7CCA">
        <w:t xml:space="preserve">catalogue historical records with </w:t>
      </w:r>
      <w:r w:rsidR="00AD7CCA" w:rsidRPr="7352C6E0">
        <w:rPr>
          <w:b/>
          <w:bCs/>
        </w:rPr>
        <w:t xml:space="preserve">Clayton </w:t>
      </w:r>
      <w:r w:rsidR="00AD7CCA">
        <w:t>to provide</w:t>
      </w:r>
      <w:r w:rsidR="6A8BCEA4">
        <w:t xml:space="preserve"> supervision on</w:t>
      </w:r>
      <w:r w:rsidR="00AD7CCA">
        <w:t xml:space="preserve"> historical analysis. </w:t>
      </w:r>
    </w:p>
    <w:p w14:paraId="5E290A50" w14:textId="57D90AD2" w:rsidR="001A60B1" w:rsidRDefault="001A60B1" w:rsidP="001A60B1">
      <w:r>
        <w:t xml:space="preserve">2. </w:t>
      </w:r>
      <w:r w:rsidR="00733483">
        <w:t xml:space="preserve">The inflexibility of the physical and social infrastructure to social change </w:t>
      </w:r>
    </w:p>
    <w:p w14:paraId="0A49D478" w14:textId="17B964B8" w:rsidR="00FA255E" w:rsidRDefault="00733483" w:rsidP="001A60B1">
      <w:r>
        <w:t xml:space="preserve">- The ‘grid iron’ approach to new town development provided a street layout that persisted throughout history. </w:t>
      </w:r>
      <w:r w:rsidR="000C1FAE">
        <w:t xml:space="preserve">Glasgow </w:t>
      </w:r>
      <w:r w:rsidR="00642578">
        <w:t xml:space="preserve">Corporation was of the opinion that “the area is one of bad layout and obsolete development”, which they used to justify defining the whole area into CDAs. Yet </w:t>
      </w:r>
      <w:r w:rsidR="00911C59">
        <w:t xml:space="preserve">years of redevelopment changed little of the grid-iron layout </w:t>
      </w:r>
      <w:r w:rsidR="00911C59" w:rsidRPr="00F322D5">
        <w:t>that w</w:t>
      </w:r>
      <w:r w:rsidR="004C5ED1" w:rsidRPr="00F322D5">
        <w:t>as</w:t>
      </w:r>
      <w:r w:rsidR="00911C59" w:rsidRPr="00F322D5">
        <w:t xml:space="preserve"> in</w:t>
      </w:r>
      <w:r w:rsidR="004C5ED1" w:rsidRPr="00F322D5">
        <w:t>itiated in</w:t>
      </w:r>
      <w:r w:rsidR="00911C59" w:rsidRPr="00F322D5">
        <w:t xml:space="preserve"> the</w:t>
      </w:r>
      <w:r w:rsidR="004C5ED1" w:rsidRPr="00F322D5">
        <w:t xml:space="preserve"> Georgian period</w:t>
      </w:r>
      <w:r w:rsidR="00F322D5" w:rsidRPr="00F322D5">
        <w:t>.</w:t>
      </w:r>
    </w:p>
    <w:p w14:paraId="078B1DF9" w14:textId="43E15444" w:rsidR="00733483" w:rsidRPr="00AD7CCA" w:rsidRDefault="00FA255E" w:rsidP="001A60B1">
      <w:r>
        <w:t xml:space="preserve">- </w:t>
      </w:r>
      <w:r w:rsidR="00AD7CCA">
        <w:t xml:space="preserve">The persistence of infrastructure, as both a feature of slum development and an obstacle to urban renewal, </w:t>
      </w:r>
      <w:r w:rsidR="6C373FC6">
        <w:t>challenges the notion of infrastructure and poses the question of how physical infrastructure drives and became dri</w:t>
      </w:r>
      <w:r w:rsidR="74AA7EA9">
        <w:t>ven by changes in social infrastructure</w:t>
      </w:r>
      <w:r w:rsidR="6C373FC6">
        <w:t xml:space="preserve">. </w:t>
      </w:r>
    </w:p>
    <w:p w14:paraId="3D2D649D" w14:textId="3373804A" w:rsidR="00733483" w:rsidRPr="00AD7CCA" w:rsidRDefault="6C373FC6" w:rsidP="001A60B1">
      <w:r>
        <w:t>- Th</w:t>
      </w:r>
      <w:r w:rsidR="4D1E0401">
        <w:t xml:space="preserve">e historical trajectory </w:t>
      </w:r>
      <w:r w:rsidR="004C5ED1" w:rsidRPr="00F322D5">
        <w:t xml:space="preserve">of </w:t>
      </w:r>
      <w:r w:rsidR="4D1E0401" w:rsidRPr="00F322D5">
        <w:t xml:space="preserve">these </w:t>
      </w:r>
      <w:r w:rsidR="4D1E0401">
        <w:t xml:space="preserve">changes </w:t>
      </w:r>
      <w:r w:rsidR="00AD7CCA">
        <w:t xml:space="preserve">will be studied using archival research of historical maps and plans analysed using spatial data techniques. </w:t>
      </w:r>
      <w:r w:rsidR="00AD7CCA" w:rsidRPr="7352C6E0">
        <w:rPr>
          <w:b/>
          <w:bCs/>
        </w:rPr>
        <w:t xml:space="preserve">McVean </w:t>
      </w:r>
      <w:r w:rsidR="00AD7CCA">
        <w:t xml:space="preserve">to </w:t>
      </w:r>
      <w:r w:rsidR="05A51D17">
        <w:t xml:space="preserve">supervise </w:t>
      </w:r>
      <w:r w:rsidR="00AD7CCA">
        <w:t>research into historical map</w:t>
      </w:r>
      <w:r w:rsidR="58C59F77">
        <w:t xml:space="preserve">s and </w:t>
      </w:r>
      <w:r w:rsidR="00256275">
        <w:rPr>
          <w:b/>
          <w:bCs/>
        </w:rPr>
        <w:t xml:space="preserve">Chiu </w:t>
      </w:r>
      <w:r w:rsidR="58C59F77">
        <w:t xml:space="preserve">to supervise analysis on social development processes. </w:t>
      </w:r>
    </w:p>
    <w:p w14:paraId="0A9E26AE" w14:textId="65DC8E4F" w:rsidR="00AD7CCA" w:rsidRDefault="00AD7CCA" w:rsidP="001A60B1">
      <w:r>
        <w:t xml:space="preserve">3. The urban renewal process </w:t>
      </w:r>
    </w:p>
    <w:p w14:paraId="0A780EFC" w14:textId="18A51CBA" w:rsidR="00AD7CCA" w:rsidRDefault="00257EC4" w:rsidP="7352C6E0">
      <w:r>
        <w:t>- The historical social and economic development dictated how urban renewal processes evolved from sanitation acts (1866) to developmental (</w:t>
      </w:r>
      <w:r w:rsidR="00C80080">
        <w:t xml:space="preserve">CDAs in </w:t>
      </w:r>
      <w:r>
        <w:t>19</w:t>
      </w:r>
      <w:r w:rsidR="00C80080">
        <w:t>5</w:t>
      </w:r>
      <w:r>
        <w:t xml:space="preserve">0s) to a community based participatory approach (1990s). </w:t>
      </w:r>
      <w:r w:rsidR="67CD03B5">
        <w:t xml:space="preserve">How </w:t>
      </w:r>
      <w:r w:rsidR="02D2B56D">
        <w:t xml:space="preserve">different stakeholders coalign with each other and facilitate urban renewal </w:t>
      </w:r>
      <w:r w:rsidR="54526D12">
        <w:t>might provide lessons on participation and governance in urban ren</w:t>
      </w:r>
      <w:r w:rsidR="589E1E7E">
        <w:t>ewal</w:t>
      </w:r>
      <w:r w:rsidR="00EB68DA">
        <w:t>.</w:t>
      </w:r>
      <w:r>
        <w:t xml:space="preserve"> </w:t>
      </w:r>
    </w:p>
    <w:p w14:paraId="00971DC0" w14:textId="710D6CBF" w:rsidR="00AD7CCA" w:rsidRPr="00AD7CCA" w:rsidRDefault="00AD7CCA" w:rsidP="001A60B1">
      <w:r>
        <w:t xml:space="preserve">- </w:t>
      </w:r>
      <w:r w:rsidR="619776F5">
        <w:t xml:space="preserve">Following </w:t>
      </w:r>
      <w:r w:rsidR="1BBB85CD">
        <w:t xml:space="preserve">along the work of </w:t>
      </w:r>
      <w:r>
        <w:t>Robb (1981) trace</w:t>
      </w:r>
      <w:r w:rsidR="4366EF1B">
        <w:t>d</w:t>
      </w:r>
      <w:r>
        <w:t xml:space="preserve"> social and community change</w:t>
      </w:r>
      <w:r w:rsidR="7AB5C1B2">
        <w:t xml:space="preserve"> using the town directory as a source</w:t>
      </w:r>
      <w:r w:rsidR="007C03BD" w:rsidRPr="007C03BD">
        <w:rPr>
          <w:color w:val="FF0000"/>
        </w:rPr>
        <w:t>.</w:t>
      </w:r>
      <w:r>
        <w:t xml:space="preserve"> </w:t>
      </w:r>
      <w:r w:rsidR="004E15EA">
        <w:rPr>
          <w:b/>
          <w:bCs/>
        </w:rPr>
        <w:t xml:space="preserve">Chiu </w:t>
      </w:r>
      <w:r>
        <w:t xml:space="preserve">to </w:t>
      </w:r>
      <w:r w:rsidR="346D43CD">
        <w:t xml:space="preserve">supervise </w:t>
      </w:r>
      <w:r>
        <w:t xml:space="preserve">analysis in </w:t>
      </w:r>
      <w:r w:rsidR="00257EC4">
        <w:t>the trajectory of change in social infrastructure</w:t>
      </w:r>
      <w:r w:rsidR="6851F26E">
        <w:t xml:space="preserve"> and urban governance</w:t>
      </w:r>
      <w:r w:rsidR="00257EC4">
        <w:t xml:space="preserve"> throughout the three urban renewal episodes</w:t>
      </w:r>
      <w:r w:rsidR="00D97196">
        <w:t xml:space="preserve"> as a case study in comparative urban history.</w:t>
      </w:r>
    </w:p>
    <w:sectPr w:rsidR="00AD7CCA" w:rsidRPr="00AD7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B1"/>
    <w:rsid w:val="00053AD7"/>
    <w:rsid w:val="000C1FAE"/>
    <w:rsid w:val="0010042C"/>
    <w:rsid w:val="001410C9"/>
    <w:rsid w:val="001A60B1"/>
    <w:rsid w:val="001C64A0"/>
    <w:rsid w:val="001D68A9"/>
    <w:rsid w:val="00256275"/>
    <w:rsid w:val="00257EC4"/>
    <w:rsid w:val="002A4054"/>
    <w:rsid w:val="00380EA0"/>
    <w:rsid w:val="003D55A5"/>
    <w:rsid w:val="00431659"/>
    <w:rsid w:val="004549A0"/>
    <w:rsid w:val="004C5ED1"/>
    <w:rsid w:val="004D4E0C"/>
    <w:rsid w:val="004E15EA"/>
    <w:rsid w:val="004E5508"/>
    <w:rsid w:val="004F7D06"/>
    <w:rsid w:val="005D6636"/>
    <w:rsid w:val="005E0C03"/>
    <w:rsid w:val="00630751"/>
    <w:rsid w:val="00642578"/>
    <w:rsid w:val="0064386A"/>
    <w:rsid w:val="006B387A"/>
    <w:rsid w:val="006C3577"/>
    <w:rsid w:val="00733483"/>
    <w:rsid w:val="00794C04"/>
    <w:rsid w:val="007A444D"/>
    <w:rsid w:val="007C03BD"/>
    <w:rsid w:val="007D3547"/>
    <w:rsid w:val="007D7D21"/>
    <w:rsid w:val="007FD42C"/>
    <w:rsid w:val="0089522E"/>
    <w:rsid w:val="008A297C"/>
    <w:rsid w:val="008B4FCF"/>
    <w:rsid w:val="008E7960"/>
    <w:rsid w:val="008F2622"/>
    <w:rsid w:val="00911C59"/>
    <w:rsid w:val="0093063C"/>
    <w:rsid w:val="00A62208"/>
    <w:rsid w:val="00A84C79"/>
    <w:rsid w:val="00AD1102"/>
    <w:rsid w:val="00AD7CCA"/>
    <w:rsid w:val="00B20C6A"/>
    <w:rsid w:val="00B47F25"/>
    <w:rsid w:val="00B97C61"/>
    <w:rsid w:val="00BA0AF8"/>
    <w:rsid w:val="00C03640"/>
    <w:rsid w:val="00C313F4"/>
    <w:rsid w:val="00C61847"/>
    <w:rsid w:val="00C80080"/>
    <w:rsid w:val="00C90513"/>
    <w:rsid w:val="00D12011"/>
    <w:rsid w:val="00D177A6"/>
    <w:rsid w:val="00D205AA"/>
    <w:rsid w:val="00D84F89"/>
    <w:rsid w:val="00D868C0"/>
    <w:rsid w:val="00D97196"/>
    <w:rsid w:val="00DA46A3"/>
    <w:rsid w:val="00DC664C"/>
    <w:rsid w:val="00EA5D4B"/>
    <w:rsid w:val="00EB68DA"/>
    <w:rsid w:val="00F322D5"/>
    <w:rsid w:val="00F9020D"/>
    <w:rsid w:val="00FA255E"/>
    <w:rsid w:val="00FBDB1F"/>
    <w:rsid w:val="01114B72"/>
    <w:rsid w:val="01D52692"/>
    <w:rsid w:val="02D2B56D"/>
    <w:rsid w:val="03AB2C8D"/>
    <w:rsid w:val="041718F5"/>
    <w:rsid w:val="05A51D17"/>
    <w:rsid w:val="05D55258"/>
    <w:rsid w:val="06EC74DC"/>
    <w:rsid w:val="09B2C179"/>
    <w:rsid w:val="0FB4E187"/>
    <w:rsid w:val="1BBB85CD"/>
    <w:rsid w:val="1CF87E57"/>
    <w:rsid w:val="1F0DB9F0"/>
    <w:rsid w:val="21F55BA3"/>
    <w:rsid w:val="22127E6C"/>
    <w:rsid w:val="226719A2"/>
    <w:rsid w:val="27BBCE39"/>
    <w:rsid w:val="2CE55DEC"/>
    <w:rsid w:val="2FD29EFA"/>
    <w:rsid w:val="3163CBD0"/>
    <w:rsid w:val="316EF141"/>
    <w:rsid w:val="346D43CD"/>
    <w:rsid w:val="35AD9A62"/>
    <w:rsid w:val="378973FE"/>
    <w:rsid w:val="3C7C67A4"/>
    <w:rsid w:val="3D356421"/>
    <w:rsid w:val="3DE9AF8D"/>
    <w:rsid w:val="3E1352F0"/>
    <w:rsid w:val="40A2D931"/>
    <w:rsid w:val="42629078"/>
    <w:rsid w:val="4281287B"/>
    <w:rsid w:val="4366EF1B"/>
    <w:rsid w:val="44E897F5"/>
    <w:rsid w:val="463033B6"/>
    <w:rsid w:val="46BCEFC7"/>
    <w:rsid w:val="46BE57C1"/>
    <w:rsid w:val="49656BC8"/>
    <w:rsid w:val="4D184CFB"/>
    <w:rsid w:val="4D1E0401"/>
    <w:rsid w:val="502E07B1"/>
    <w:rsid w:val="50EB2FF5"/>
    <w:rsid w:val="51E602A0"/>
    <w:rsid w:val="5312496D"/>
    <w:rsid w:val="53D33E84"/>
    <w:rsid w:val="54526D12"/>
    <w:rsid w:val="56E7DCE2"/>
    <w:rsid w:val="574883A7"/>
    <w:rsid w:val="589E1E7E"/>
    <w:rsid w:val="58C59F77"/>
    <w:rsid w:val="5911A939"/>
    <w:rsid w:val="5AFB09D0"/>
    <w:rsid w:val="5B7B8051"/>
    <w:rsid w:val="5C788913"/>
    <w:rsid w:val="617467D5"/>
    <w:rsid w:val="619776F5"/>
    <w:rsid w:val="62B4E854"/>
    <w:rsid w:val="67232FF4"/>
    <w:rsid w:val="67CD03B5"/>
    <w:rsid w:val="6851F26E"/>
    <w:rsid w:val="68F99AD8"/>
    <w:rsid w:val="69798F03"/>
    <w:rsid w:val="6A8BCEA4"/>
    <w:rsid w:val="6C373FC6"/>
    <w:rsid w:val="6CF47BA2"/>
    <w:rsid w:val="6D332985"/>
    <w:rsid w:val="6EC056D0"/>
    <w:rsid w:val="6FE6D532"/>
    <w:rsid w:val="700DAC2B"/>
    <w:rsid w:val="707652C9"/>
    <w:rsid w:val="71B0CB71"/>
    <w:rsid w:val="7352C6E0"/>
    <w:rsid w:val="74AA7EA9"/>
    <w:rsid w:val="759A31FB"/>
    <w:rsid w:val="7741832C"/>
    <w:rsid w:val="793B16E9"/>
    <w:rsid w:val="7AB5C1B2"/>
    <w:rsid w:val="7B25422B"/>
    <w:rsid w:val="7D20F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B6F818"/>
  <w15:chartTrackingRefBased/>
  <w15:docId w15:val="{E09417B4-16F6-49A9-B251-B29EFCCD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0B1"/>
    <w:rPr>
      <w:rFonts w:eastAsiaTheme="majorEastAsia" w:cstheme="majorBidi"/>
      <w:color w:val="272727" w:themeColor="text1" w:themeTint="D8"/>
    </w:rPr>
  </w:style>
  <w:style w:type="paragraph" w:styleId="Title">
    <w:name w:val="Title"/>
    <w:basedOn w:val="Normal"/>
    <w:next w:val="Normal"/>
    <w:link w:val="TitleChar"/>
    <w:uiPriority w:val="10"/>
    <w:qFormat/>
    <w:rsid w:val="001A6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0B1"/>
    <w:pPr>
      <w:spacing w:before="160"/>
      <w:jc w:val="center"/>
    </w:pPr>
    <w:rPr>
      <w:i/>
      <w:iCs/>
      <w:color w:val="404040" w:themeColor="text1" w:themeTint="BF"/>
    </w:rPr>
  </w:style>
  <w:style w:type="character" w:customStyle="1" w:styleId="QuoteChar">
    <w:name w:val="Quote Char"/>
    <w:basedOn w:val="DefaultParagraphFont"/>
    <w:link w:val="Quote"/>
    <w:uiPriority w:val="29"/>
    <w:rsid w:val="001A60B1"/>
    <w:rPr>
      <w:i/>
      <w:iCs/>
      <w:color w:val="404040" w:themeColor="text1" w:themeTint="BF"/>
    </w:rPr>
  </w:style>
  <w:style w:type="paragraph" w:styleId="ListParagraph">
    <w:name w:val="List Paragraph"/>
    <w:basedOn w:val="Normal"/>
    <w:uiPriority w:val="34"/>
    <w:qFormat/>
    <w:rsid w:val="001A60B1"/>
    <w:pPr>
      <w:ind w:left="720"/>
      <w:contextualSpacing/>
    </w:pPr>
  </w:style>
  <w:style w:type="character" w:styleId="IntenseEmphasis">
    <w:name w:val="Intense Emphasis"/>
    <w:basedOn w:val="DefaultParagraphFont"/>
    <w:uiPriority w:val="21"/>
    <w:qFormat/>
    <w:rsid w:val="001A60B1"/>
    <w:rPr>
      <w:i/>
      <w:iCs/>
      <w:color w:val="0F4761" w:themeColor="accent1" w:themeShade="BF"/>
    </w:rPr>
  </w:style>
  <w:style w:type="paragraph" w:styleId="IntenseQuote">
    <w:name w:val="Intense Quote"/>
    <w:basedOn w:val="Normal"/>
    <w:next w:val="Normal"/>
    <w:link w:val="IntenseQuoteChar"/>
    <w:uiPriority w:val="30"/>
    <w:qFormat/>
    <w:rsid w:val="001A6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0B1"/>
    <w:rPr>
      <w:i/>
      <w:iCs/>
      <w:color w:val="0F4761" w:themeColor="accent1" w:themeShade="BF"/>
    </w:rPr>
  </w:style>
  <w:style w:type="character" w:styleId="IntenseReference">
    <w:name w:val="Intense Reference"/>
    <w:basedOn w:val="DefaultParagraphFont"/>
    <w:uiPriority w:val="32"/>
    <w:qFormat/>
    <w:rsid w:val="001A60B1"/>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A5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ee66a8-b968-4cdd-b121-e003bdc3d17c" xsi:nil="true"/>
    <lcf76f155ced4ddcb4097134ff3c332f xmlns="6d24ccf7-a649-40d5-80a8-c28bf25498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D82CFE2D78E44B667E64ED5711502" ma:contentTypeVersion="11" ma:contentTypeDescription="Create a new document." ma:contentTypeScope="" ma:versionID="ab6a7c608e1a1da995f1beaace2c578d">
  <xsd:schema xmlns:xsd="http://www.w3.org/2001/XMLSchema" xmlns:xs="http://www.w3.org/2001/XMLSchema" xmlns:p="http://schemas.microsoft.com/office/2006/metadata/properties" xmlns:ns2="6d24ccf7-a649-40d5-80a8-c28bf25498d8" xmlns:ns3="e3ee66a8-b968-4cdd-b121-e003bdc3d17c" targetNamespace="http://schemas.microsoft.com/office/2006/metadata/properties" ma:root="true" ma:fieldsID="dab82c42513fe1dca5ab5b159118da02" ns2:_="" ns3:_="">
    <xsd:import namespace="6d24ccf7-a649-40d5-80a8-c28bf25498d8"/>
    <xsd:import namespace="e3ee66a8-b968-4cdd-b121-e003bdc3d1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4ccf7-a649-40d5-80a8-c28bf2549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e66a8-b968-4cdd-b121-e003bdc3d17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afdab0-26f3-4f55-a6f5-fbeb82818cba}" ma:internalName="TaxCatchAll" ma:showField="CatchAllData" ma:web="e3ee66a8-b968-4cdd-b121-e003bdc3d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BA0B5-01F4-4C14-9B25-EC79D7C76441}">
  <ds:schemaRefs>
    <ds:schemaRef ds:uri="http://schemas.microsoft.com/office/2006/metadata/properties"/>
    <ds:schemaRef ds:uri="http://schemas.microsoft.com/office/infopath/2007/PartnerControls"/>
    <ds:schemaRef ds:uri="e3ee66a8-b968-4cdd-b121-e003bdc3d17c"/>
    <ds:schemaRef ds:uri="6d24ccf7-a649-40d5-80a8-c28bf25498d8"/>
  </ds:schemaRefs>
</ds:datastoreItem>
</file>

<file path=customXml/itemProps2.xml><?xml version="1.0" encoding="utf-8"?>
<ds:datastoreItem xmlns:ds="http://schemas.openxmlformats.org/officeDocument/2006/customXml" ds:itemID="{44C965F1-C5CD-4E4A-A55D-D719E2842D0D}">
  <ds:schemaRefs>
    <ds:schemaRef ds:uri="http://schemas.microsoft.com/sharepoint/v3/contenttype/forms"/>
  </ds:schemaRefs>
</ds:datastoreItem>
</file>

<file path=customXml/itemProps3.xml><?xml version="1.0" encoding="utf-8"?>
<ds:datastoreItem xmlns:ds="http://schemas.openxmlformats.org/officeDocument/2006/customXml" ds:itemID="{AD3B55EC-5DB2-486C-9459-FC3C4903C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4ccf7-a649-40d5-80a8-c28bf25498d8"/>
    <ds:schemaRef ds:uri="e3ee66a8-b968-4cdd-b121-e003bdc3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Chim Chiu</dc:creator>
  <cp:keywords/>
  <dc:description/>
  <cp:lastModifiedBy>Katherine Keenan</cp:lastModifiedBy>
  <cp:revision>9</cp:revision>
  <dcterms:created xsi:type="dcterms:W3CDTF">2025-12-05T19:13:00Z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0x010100A56D82CFE2D78E44B667E64ED5711502</vt:lpwstr>
  </property>
  <property fmtid="{D5CDD505-2E9C-101B-9397-08002B2CF9AE}" pid="3" name="_AdHocReviewCycleID">
    <vt:i4>-198733019</vt:i4>
  </property>
  <property fmtid="{D5CDD505-2E9C-101B-9397-08002B2CF9AE}" pid="4" name="_NewReviewCycle">
    <vt:lpwstr/>
  </property>
  <property fmtid="{D5CDD505-2E9C-101B-9397-08002B2CF9AE}" pid="5" name="_EmailSubject">
    <vt:lpwstr>Launch of the GSD PhD scholarship competition </vt:lpwstr>
  </property>
  <property fmtid="{D5CDD505-2E9C-101B-9397-08002B2CF9AE}" pid="6" name="_AuthorEmail">
    <vt:lpwstr>hcc6@st-andrews.ac.uk</vt:lpwstr>
  </property>
  <property fmtid="{D5CDD505-2E9C-101B-9397-08002B2CF9AE}" pid="7" name="_AuthorEmailDisplayName">
    <vt:lpwstr>Hon Chim Chiu</vt:lpwstr>
  </property>
  <property fmtid="{D5CDD505-2E9C-101B-9397-08002B2CF9AE}" pid="8" name="_PreviousAdHocReviewCycleID">
    <vt:i4>-198733019</vt:i4>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